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415817</w:t>
      </w:r>
      <w:bookmarkStart w:id="5" w:name="_GoBack"/>
      <w:bookmarkEnd w:id="5"/>
    </w:p>
    <w:p>
      <w:pPr>
        <w:pStyle w:val="73"/>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MPR applicability for FR2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6.1.1.2.3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MPR applicability for FR2.</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 xml:space="preserve">Issue 3-2-1:  Applicable MPR for FR2 single carrier UL with DL intra band CA </w:t>
            </w:r>
          </w:p>
          <w:p>
            <w:pPr>
              <w:pStyle w:val="34"/>
              <w:keepNext w:val="0"/>
              <w:keepLines w:val="0"/>
              <w:pageBreakBefore w:val="0"/>
              <w:widowControl/>
              <w:numPr>
                <w:ilvl w:val="0"/>
                <w:numId w:val="9"/>
              </w:numPr>
              <w:kinsoku/>
              <w:wordWrap/>
              <w:overflowPunct/>
              <w:topLinePunct w:val="0"/>
              <w:autoSpaceDE/>
              <w:autoSpaceDN/>
              <w:bidi w:val="0"/>
              <w:adjustRightInd/>
              <w:snapToGri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keepNext w:val="0"/>
              <w:keepLines w:val="0"/>
              <w:pageBreakBefore w:val="0"/>
              <w:widowControl/>
              <w:numPr>
                <w:ilvl w:val="1"/>
                <w:numId w:val="9"/>
              </w:numPr>
              <w:kinsoku/>
              <w:wordWrap/>
              <w:overflowPunct/>
              <w:topLinePunct w:val="0"/>
              <w:autoSpaceDE/>
              <w:autoSpaceDN/>
              <w:bidi w:val="0"/>
              <w:adjustRightInd/>
              <w:snapToGri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For the case of DL intra band CA with single UL CC (activated or configured), the reference MPR (originally being Table 6.2A.2.4-1) is changed as the MPR requirement for single carrier. (Huawei)</w:t>
            </w:r>
          </w:p>
          <w:p>
            <w:pPr>
              <w:pStyle w:val="34"/>
              <w:keepNext w:val="0"/>
              <w:keepLines w:val="0"/>
              <w:pageBreakBefore w:val="0"/>
              <w:widowControl/>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numPr>
                <w:ilvl w:val="1"/>
                <w:numId w:val="9"/>
              </w:numPr>
              <w:kinsoku/>
              <w:wordWrap/>
              <w:overflowPunct/>
              <w:topLinePunct w:val="0"/>
              <w:autoSpaceDE/>
              <w:autoSpaceDN/>
              <w:bidi w:val="0"/>
              <w:adjustRightInd/>
              <w:snapToGrid/>
              <w:spacing w:after="120"/>
              <w:ind w:left="1440" w:firstLineChars="0"/>
              <w:textAlignment w:val="auto"/>
              <w:rPr>
                <w:rFonts w:hint="default"/>
                <w:b/>
                <w:bCs/>
                <w:i/>
                <w:iCs/>
                <w:sz w:val="20"/>
                <w:szCs w:val="20"/>
                <w:vertAlign w:val="baseline"/>
                <w:lang w:val="en-US" w:eastAsia="zh-CN"/>
              </w:rPr>
            </w:pPr>
            <w:r>
              <w:rPr>
                <w:color w:val="000000" w:themeColor="text1"/>
                <w:sz w:val="20"/>
                <w:szCs w:val="20"/>
                <w:lang w:eastAsia="zh-CN"/>
                <w14:textFill>
                  <w14:solidFill>
                    <w14:schemeClr w14:val="tx1"/>
                  </w14:solidFill>
                </w14:textFill>
              </w:rPr>
              <w:t>FFS in next meeting.</w:t>
            </w:r>
          </w:p>
          <w:p>
            <w:pPr>
              <w:pStyle w:val="34"/>
              <w:keepNext w:val="0"/>
              <w:keepLines w:val="0"/>
              <w:pageBreakBefore w:val="0"/>
              <w:widowControl/>
              <w:numPr>
                <w:ilvl w:val="0"/>
                <w:numId w:val="0"/>
              </w:numPr>
              <w:kinsoku/>
              <w:wordWrap/>
              <w:overflowPunct/>
              <w:topLinePunct w:val="0"/>
              <w:autoSpaceDE/>
              <w:autoSpaceDN/>
              <w:bidi w:val="0"/>
              <w:adjustRightInd/>
              <w:snapToGrid/>
              <w:spacing w:after="120"/>
              <w:ind w:left="1080" w:leftChars="0"/>
              <w:textAlignment w:val="auto"/>
              <w:rPr>
                <w:rFonts w:hint="default"/>
                <w:b/>
                <w:bCs/>
                <w:i/>
                <w:iCs/>
                <w:sz w:val="20"/>
                <w:szCs w:val="20"/>
                <w:vertAlign w:val="baseline"/>
                <w:lang w:val="en-US" w:eastAsia="zh-CN"/>
              </w:rPr>
            </w:pPr>
          </w:p>
        </w:tc>
      </w:tr>
    </w:tbl>
    <w:p>
      <w:pPr>
        <w:rPr>
          <w:rFonts w:hint="default" w:cs="Times New Roman"/>
          <w:sz w:val="20"/>
          <w:szCs w:val="20"/>
          <w:lang w:val="en-US" w:eastAsia="zh-CN"/>
        </w:rPr>
      </w:pPr>
      <w:r>
        <w:rPr>
          <w:rFonts w:hint="eastAsia"/>
          <w:sz w:val="20"/>
          <w:szCs w:val="20"/>
          <w:lang w:val="en-US" w:eastAsia="zh-CN"/>
        </w:rPr>
        <w:t xml:space="preserve">For FR2 single carrier UL with DL intra band CA, there is a remaining issue needs further discussion whether to take the minimum values of MPR between the intra-band CA case and the single carrier. For example, assuming a FR2-2 band combination with 400MHz </w:t>
      </w:r>
      <w:r>
        <w:rPr>
          <w:rFonts w:eastAsia="宋体"/>
          <w:color w:val="000000" w:themeColor="text1"/>
          <w:sz w:val="20"/>
          <w:szCs w:val="20"/>
          <w:lang w:eastAsia="zh-CN"/>
          <w14:textFill>
            <w14:solidFill>
              <w14:schemeClr w14:val="tx1"/>
            </w14:solidFill>
          </w14:textFill>
        </w:rPr>
        <w:t>single UL CC</w:t>
      </w:r>
      <w:r>
        <w:rPr>
          <w:rFonts w:hint="eastAsia"/>
          <w:color w:val="000000" w:themeColor="text1"/>
          <w:sz w:val="20"/>
          <w:szCs w:val="20"/>
          <w:lang w:val="en-US" w:eastAsia="zh-CN"/>
          <w14:textFill>
            <w14:solidFill>
              <w14:schemeClr w14:val="tx1"/>
            </w14:solidFill>
          </w14:textFill>
        </w:rPr>
        <w:t xml:space="preserve"> and 800MHz intra-band DL contiguous CA, MPR of </w:t>
      </w:r>
      <w:r>
        <w:rPr>
          <w:rFonts w:hint="eastAsia"/>
          <w:sz w:val="20"/>
          <w:szCs w:val="20"/>
          <w:lang w:val="en-US" w:eastAsia="zh-CN"/>
        </w:rPr>
        <w:t xml:space="preserve">400MHz </w:t>
      </w:r>
      <w:r>
        <w:rPr>
          <w:rFonts w:eastAsia="宋体"/>
          <w:color w:val="000000" w:themeColor="text1"/>
          <w:sz w:val="20"/>
          <w:szCs w:val="20"/>
          <w:lang w:eastAsia="zh-CN"/>
          <w14:textFill>
            <w14:solidFill>
              <w14:schemeClr w14:val="tx1"/>
            </w14:solidFill>
          </w14:textFill>
        </w:rPr>
        <w:t>single UL CC</w:t>
      </w:r>
      <w:r>
        <w:rPr>
          <w:rFonts w:hint="eastAsia"/>
          <w:color w:val="000000" w:themeColor="text1"/>
          <w:sz w:val="20"/>
          <w:szCs w:val="20"/>
          <w:lang w:val="en-US" w:eastAsia="zh-CN"/>
          <w14:textFill>
            <w14:solidFill>
              <w14:schemeClr w14:val="tx1"/>
            </w14:solidFill>
          </w14:textFill>
        </w:rPr>
        <w:t xml:space="preserve"> are larger than that of 1200MHz CABW for </w:t>
      </w:r>
      <w:r>
        <w:t>Pi/2 BPSK</w:t>
      </w:r>
      <w:r>
        <w:rPr>
          <w:rFonts w:hint="eastAsia"/>
          <w:lang w:val="en-US" w:eastAsia="zh-CN"/>
        </w:rPr>
        <w:t xml:space="preserve">, </w:t>
      </w:r>
      <w:r>
        <w:rPr>
          <w:rFonts w:ascii="Times New Roman" w:hAnsi="Times New Roman" w:cs="Times New Roman"/>
          <w:sz w:val="20"/>
          <w:szCs w:val="20"/>
        </w:rPr>
        <w:t>QSPK and 16QAM</w:t>
      </w:r>
      <w:r>
        <w:rPr>
          <w:rFonts w:hint="eastAsia" w:cs="Times New Roman"/>
          <w:sz w:val="20"/>
          <w:szCs w:val="20"/>
          <w:lang w:val="en-US" w:eastAsia="zh-CN"/>
        </w:rPr>
        <w:t>. According to the definition of OOBE requirements for CA configuration consisting of a single UL CC, the OOBE requirement for single CC can be applied. Hence, with the intention of MPR reduction, it is feasible to take the minimum values of MPR between the intra-band CA case and the single carrier for FR2-2 with emissions compliance. We propose that for FR2 single carrier UL with DL intra band CA, applicable MPR shall be derived as MIN(MPR1,MPR2), where: MPR1 is based on single UL CC, and MPR2 is based on CABW.</w:t>
      </w:r>
    </w:p>
    <w:p>
      <w:pPr>
        <w:pStyle w:val="56"/>
      </w:pPr>
      <w:r>
        <w:t>Table 6.2.2.1-4 MPR</w:t>
      </w:r>
      <w:r>
        <w:rPr>
          <w:vertAlign w:val="subscript"/>
        </w:rPr>
        <w:t>WT</w:t>
      </w:r>
      <w:r>
        <w:t xml:space="preserve"> for power class 1, </w:t>
      </w:r>
      <w:r>
        <w:rPr>
          <w:sz w:val="18"/>
        </w:rPr>
        <w:t>BW</w:t>
      </w:r>
      <w:r>
        <w:rPr>
          <w:sz w:val="18"/>
          <w:vertAlign w:val="subscript"/>
        </w:rPr>
        <w:t>channel</w:t>
      </w:r>
      <w:r>
        <w:rPr>
          <w:sz w:val="18"/>
        </w:rPr>
        <w:t xml:space="preserve"> &gt;</w:t>
      </w:r>
      <w:r>
        <w:rPr>
          <w:rFonts w:cs="Arial"/>
          <w:sz w:val="18"/>
        </w:rPr>
        <w:t>=</w:t>
      </w:r>
      <w:r>
        <w:rPr>
          <w:sz w:val="18"/>
        </w:rPr>
        <w:t xml:space="preserve"> 400 MHz in FR2-2</w:t>
      </w:r>
    </w:p>
    <w:tbl>
      <w:tblPr>
        <w:tblStyle w:val="23"/>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MPR</w:t>
            </w:r>
            <w:r>
              <w:rPr>
                <w:vertAlign w:val="subscript"/>
              </w:rPr>
              <w:t>WT</w:t>
            </w:r>
            <w:r>
              <w:t xml:space="preserve"> (dB), BW</w:t>
            </w:r>
            <w:r>
              <w:rPr>
                <w:vertAlign w:val="subscript"/>
              </w:rPr>
              <w:t>channel</w:t>
            </w:r>
            <w:r>
              <w:t xml:space="preserve"> </w:t>
            </w:r>
            <w:r>
              <w:rPr>
                <w:rFonts w:cs="Arial"/>
              </w:rPr>
              <w:t>=</w:t>
            </w:r>
            <w:r>
              <w:t xml:space="preserve"> 400, 800, 1600, 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2094" w:type="dxa"/>
            <w:tcBorders>
              <w:top w:val="single" w:color="auto" w:sz="4" w:space="0"/>
              <w:left w:val="single" w:color="auto" w:sz="4" w:space="0"/>
              <w:bottom w:val="nil"/>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2094" w:type="dxa"/>
            <w:tcBorders>
              <w:top w:val="nil"/>
              <w:left w:val="single" w:color="auto" w:sz="4" w:space="0"/>
              <w:bottom w:val="single" w:color="auto" w:sz="4" w:space="0"/>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206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rPr>
                <w:szCs w:val="18"/>
              </w:rPr>
              <w:t>Region 1</w:t>
            </w:r>
          </w:p>
        </w:tc>
        <w:tc>
          <w:tcPr>
            <w:tcW w:w="206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lang w:val="en-CA"/>
              </w:rPr>
            </w:pPr>
            <w:r>
              <w:rPr>
                <w:highlight w:val="yellow"/>
              </w:rPr>
              <w:t>≤ 6.0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1.0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xml:space="preserve">≤ </w:t>
            </w:r>
            <w:r>
              <w:rPr>
                <w:highlight w:val="yellow"/>
                <w:lang w:val="en-CA"/>
              </w:rPr>
              <w:t>6.0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1.0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xml:space="preserve">≤ </w:t>
            </w:r>
            <w:r>
              <w:rPr>
                <w:highlight w:val="yellow"/>
                <w:lang w:val="en-CA"/>
              </w:rPr>
              <w:t>4.5</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3.0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6.0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lang w:val="en-CA"/>
              </w:rPr>
              <w:t xml:space="preserve"> 1.5</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lang w:val="en-CA"/>
              </w:rPr>
              <w:t xml:space="preserve">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6.0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4.0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10.0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10.0</w:t>
            </w:r>
          </w:p>
        </w:tc>
        <w:tc>
          <w:tcPr>
            <w:tcW w:w="20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 </w:t>
            </w:r>
            <w:r>
              <w:rPr>
                <w:lang w:val="en-CA"/>
              </w:rPr>
              <w:t>10.0</w:t>
            </w:r>
          </w:p>
        </w:tc>
      </w:tr>
    </w:tbl>
    <w:p>
      <w:pPr>
        <w:pStyle w:val="56"/>
      </w:pPr>
      <w:r>
        <w:t>Table 6.2A.2.2-2: Maximum power reduction (MPR</w:t>
      </w:r>
      <w:r>
        <w:rPr>
          <w:vertAlign w:val="subscript"/>
        </w:rPr>
        <w:t>WT_C_CA</w:t>
      </w:r>
      <w:r>
        <w:t>) for UE power class 1 in FR2-2</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900"/>
        <w:gridCol w:w="1710"/>
        <w:gridCol w:w="189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restart"/>
            <w:tcBorders>
              <w:top w:val="single" w:color="auto" w:sz="4" w:space="0"/>
              <w:left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Waveform Type</w:t>
            </w:r>
          </w:p>
        </w:tc>
        <w:tc>
          <w:tcPr>
            <w:tcW w:w="6570" w:type="dxa"/>
            <w:gridSpan w:val="4"/>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Cumulative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Merge w:val="continue"/>
            <w:tcBorders>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90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&lt; 400 MHz</w:t>
            </w:r>
          </w:p>
        </w:tc>
        <w:tc>
          <w:tcPr>
            <w:tcW w:w="171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cs="Arial"/>
              </w:rPr>
              <w:t xml:space="preserve">≥ </w:t>
            </w:r>
            <w:r>
              <w:t>400 MHz and &lt; 800 MHz</w:t>
            </w:r>
          </w:p>
        </w:tc>
        <w:tc>
          <w:tcPr>
            <w:tcW w:w="189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cs="Arial"/>
              </w:rPr>
              <w:t xml:space="preserve">≥ </w:t>
            </w:r>
            <w:r>
              <w:t xml:space="preserve">800 MHz and </w:t>
            </w:r>
            <w:r>
              <w:rPr>
                <w:rFonts w:cs="Arial"/>
              </w:rPr>
              <w:t xml:space="preserve">≤ </w:t>
            </w:r>
            <w:r>
              <w:t>1400 MHz</w:t>
            </w:r>
          </w:p>
        </w:tc>
        <w:tc>
          <w:tcPr>
            <w:tcW w:w="207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Pi/2 BPSK</w:t>
            </w:r>
          </w:p>
        </w:tc>
        <w:tc>
          <w:tcPr>
            <w:tcW w:w="90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7.0</w:t>
            </w:r>
          </w:p>
        </w:tc>
        <w:tc>
          <w:tcPr>
            <w:tcW w:w="171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5.0</w:t>
            </w:r>
          </w:p>
        </w:tc>
        <w:tc>
          <w:tcPr>
            <w:tcW w:w="18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2.0</w:t>
            </w:r>
          </w:p>
        </w:tc>
        <w:tc>
          <w:tcPr>
            <w:tcW w:w="207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QPSK</w:t>
            </w:r>
          </w:p>
        </w:tc>
        <w:tc>
          <w:tcPr>
            <w:tcW w:w="90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8.0</w:t>
            </w:r>
          </w:p>
        </w:tc>
        <w:tc>
          <w:tcPr>
            <w:tcW w:w="171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6.0</w:t>
            </w:r>
          </w:p>
        </w:tc>
        <w:tc>
          <w:tcPr>
            <w:tcW w:w="18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3.0</w:t>
            </w:r>
          </w:p>
        </w:tc>
        <w:tc>
          <w:tcPr>
            <w:tcW w:w="207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16 QAM</w:t>
            </w:r>
          </w:p>
        </w:tc>
        <w:tc>
          <w:tcPr>
            <w:tcW w:w="90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8.0</w:t>
            </w:r>
          </w:p>
        </w:tc>
        <w:tc>
          <w:tcPr>
            <w:tcW w:w="171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6.0</w:t>
            </w:r>
          </w:p>
        </w:tc>
        <w:tc>
          <w:tcPr>
            <w:tcW w:w="18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yellow"/>
              </w:rPr>
            </w:pPr>
            <w:r>
              <w:rPr>
                <w:highlight w:val="yellow"/>
              </w:rPr>
              <w:t>≤ 4.0</w:t>
            </w:r>
          </w:p>
        </w:tc>
        <w:tc>
          <w:tcPr>
            <w:tcW w:w="207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64 QAM</w:t>
            </w:r>
          </w:p>
        </w:tc>
        <w:tc>
          <w:tcPr>
            <w:tcW w:w="90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10.0</w:t>
            </w:r>
          </w:p>
        </w:tc>
        <w:tc>
          <w:tcPr>
            <w:tcW w:w="171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10.0</w:t>
            </w:r>
          </w:p>
        </w:tc>
        <w:tc>
          <w:tcPr>
            <w:tcW w:w="18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10.0</w:t>
            </w:r>
          </w:p>
        </w:tc>
        <w:tc>
          <w:tcPr>
            <w:tcW w:w="207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 10.0</w:t>
            </w:r>
          </w:p>
        </w:tc>
      </w:tr>
    </w:tbl>
    <w:p>
      <w:pPr>
        <w:keepNext w:val="0"/>
        <w:keepLines w:val="0"/>
        <w:pageBreakBefore w:val="0"/>
        <w:widowControl/>
        <w:shd w:val="clear" w:fill="D7D7D7" w:themeFill="background1" w:themeFillShade="D8"/>
        <w:kinsoku/>
        <w:wordWrap/>
        <w:overflowPunct/>
        <w:topLinePunct w:val="0"/>
        <w:autoSpaceDE/>
        <w:autoSpaceDN/>
        <w:bidi w:val="0"/>
        <w:adjustRightInd/>
        <w:snapToGrid/>
        <w:spacing w:line="260" w:lineRule="auto"/>
        <w:ind w:left="420" w:leftChars="200" w:right="420" w:rightChars="200"/>
        <w:textAlignment w:val="auto"/>
        <w:rPr>
          <w:rFonts w:eastAsia="Malgun Gothic"/>
          <w:i/>
          <w:iCs/>
          <w:sz w:val="20"/>
          <w:szCs w:val="18"/>
        </w:rPr>
      </w:pPr>
      <w:r>
        <w:rPr>
          <w:rFonts w:eastAsia="Malgun Gothic"/>
          <w:i/>
          <w:iCs/>
          <w:sz w:val="20"/>
          <w:szCs w:val="18"/>
        </w:rPr>
        <w:t xml:space="preserve">In case the CA configuration consists of a single UL CC, </w:t>
      </w:r>
      <w:r>
        <w:rPr>
          <w:i/>
          <w:iCs/>
          <w:sz w:val="20"/>
          <w:szCs w:val="18"/>
          <w:lang w:eastAsia="zh-CN"/>
        </w:rPr>
        <w:t>spectrum emission mask defined in subclause 6.5.2.1 applies</w:t>
      </w:r>
      <w:r>
        <w:rPr>
          <w:rFonts w:eastAsia="Malgun Gothic"/>
          <w:i/>
          <w:iCs/>
          <w:sz w:val="20"/>
          <w:szCs w:val="18"/>
        </w:rPr>
        <w:t xml:space="preserve">. </w:t>
      </w:r>
    </w:p>
    <w:p>
      <w:pPr>
        <w:keepNext w:val="0"/>
        <w:keepLines w:val="0"/>
        <w:pageBreakBefore w:val="0"/>
        <w:widowControl/>
        <w:shd w:val="clear" w:fill="D7D7D7" w:themeFill="background1" w:themeFillShade="D8"/>
        <w:kinsoku/>
        <w:wordWrap/>
        <w:overflowPunct/>
        <w:topLinePunct w:val="0"/>
        <w:autoSpaceDE/>
        <w:autoSpaceDN/>
        <w:bidi w:val="0"/>
        <w:adjustRightInd/>
        <w:snapToGrid/>
        <w:spacing w:line="260" w:lineRule="auto"/>
        <w:ind w:left="420" w:leftChars="200" w:right="420" w:rightChars="200"/>
        <w:textAlignment w:val="auto"/>
        <w:rPr>
          <w:rFonts w:eastAsia="Malgun Gothic"/>
          <w:i/>
          <w:iCs/>
          <w:sz w:val="20"/>
          <w:szCs w:val="18"/>
        </w:rPr>
      </w:pPr>
      <w:r>
        <w:rPr>
          <w:rFonts w:eastAsia="Malgun Gothic"/>
          <w:i/>
          <w:iCs/>
          <w:sz w:val="20"/>
          <w:szCs w:val="18"/>
        </w:rPr>
        <w:t xml:space="preserve">In case the CA configuration consists of a single UL CC, the adjacent channel leakage ratio defined in subclause 6.5.2.3 applies. </w:t>
      </w:r>
    </w:p>
    <w:p>
      <w:pPr>
        <w:keepNext w:val="0"/>
        <w:keepLines w:val="0"/>
        <w:pageBreakBefore w:val="0"/>
        <w:widowControl/>
        <w:shd w:val="clear" w:fill="D7D7D7" w:themeFill="background1" w:themeFillShade="D8"/>
        <w:kinsoku/>
        <w:wordWrap/>
        <w:overflowPunct/>
        <w:topLinePunct w:val="0"/>
        <w:autoSpaceDE/>
        <w:autoSpaceDN/>
        <w:bidi w:val="0"/>
        <w:adjustRightInd/>
        <w:snapToGrid/>
        <w:spacing w:line="260" w:lineRule="auto"/>
        <w:ind w:left="420" w:leftChars="200" w:right="420" w:rightChars="200"/>
        <w:textAlignment w:val="auto"/>
        <w:rPr>
          <w:rFonts w:hint="eastAsia" w:cs="Times New Roman"/>
          <w:sz w:val="20"/>
          <w:szCs w:val="20"/>
          <w:lang w:val="en-US" w:eastAsia="zh-CN"/>
        </w:rPr>
      </w:pPr>
      <w:r>
        <w:rPr>
          <w:rFonts w:eastAsia="Malgun Gothic"/>
          <w:i/>
          <w:iCs/>
          <w:sz w:val="20"/>
          <w:szCs w:val="18"/>
        </w:rPr>
        <w:t xml:space="preserve">For intra-band CA, in case the CA configuration consists of a single UL CC, </w:t>
      </w:r>
      <w:r>
        <w:rPr>
          <w:i/>
          <w:iCs/>
          <w:sz w:val="20"/>
          <w:szCs w:val="18"/>
          <w:lang w:eastAsia="zh-CN"/>
        </w:rPr>
        <w:t>spurious emissions requirements defined in subclause 6.5.3 apply</w:t>
      </w:r>
      <w:r>
        <w:rPr>
          <w:rFonts w:eastAsia="Malgun Gothic"/>
          <w:i/>
          <w:iCs/>
          <w:sz w:val="20"/>
          <w:szCs w:val="18"/>
        </w:rPr>
        <w:t xml:space="preserve">. </w:t>
      </w:r>
    </w:p>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1: For FR2 single carrier UL with DL intra band CA, applicable MPR shall be derived as MIN(MPR</w:t>
      </w:r>
      <w:r>
        <w:rPr>
          <w:rFonts w:hint="eastAsia"/>
          <w:b/>
          <w:bCs/>
          <w:i w:val="0"/>
          <w:iCs w:val="0"/>
          <w:sz w:val="20"/>
          <w:szCs w:val="20"/>
          <w:vertAlign w:val="subscript"/>
          <w:lang w:val="en-US" w:eastAsia="zh-CN"/>
        </w:rPr>
        <w:t>1</w:t>
      </w:r>
      <w:r>
        <w:rPr>
          <w:rFonts w:hint="eastAsia"/>
          <w:b/>
          <w:bCs/>
          <w:i w:val="0"/>
          <w:iCs w:val="0"/>
          <w:sz w:val="20"/>
          <w:szCs w:val="20"/>
          <w:lang w:val="en-US" w:eastAsia="zh-CN"/>
        </w:rPr>
        <w:t>,MPR</w:t>
      </w:r>
      <w:r>
        <w:rPr>
          <w:rFonts w:hint="eastAsia"/>
          <w:b/>
          <w:bCs/>
          <w:i w:val="0"/>
          <w:iCs w:val="0"/>
          <w:sz w:val="20"/>
          <w:szCs w:val="20"/>
          <w:vertAlign w:val="subscript"/>
          <w:lang w:val="en-US" w:eastAsia="zh-CN"/>
        </w:rPr>
        <w:t>2</w:t>
      </w:r>
      <w:r>
        <w:rPr>
          <w:rFonts w:hint="eastAsia"/>
          <w:b/>
          <w:bCs/>
          <w:i w:val="0"/>
          <w:iCs w:val="0"/>
          <w:sz w:val="20"/>
          <w:szCs w:val="20"/>
          <w:lang w:val="en-US" w:eastAsia="zh-CN"/>
        </w:rPr>
        <w:t>), where: MPR</w:t>
      </w:r>
      <w:r>
        <w:rPr>
          <w:rFonts w:hint="eastAsia"/>
          <w:b/>
          <w:bCs/>
          <w:i w:val="0"/>
          <w:iCs w:val="0"/>
          <w:sz w:val="20"/>
          <w:szCs w:val="20"/>
          <w:vertAlign w:val="subscript"/>
          <w:lang w:val="en-US" w:eastAsia="zh-CN"/>
        </w:rPr>
        <w:t>1</w:t>
      </w:r>
      <w:r>
        <w:rPr>
          <w:rFonts w:hint="eastAsia"/>
          <w:b/>
          <w:bCs/>
          <w:i w:val="0"/>
          <w:iCs w:val="0"/>
          <w:sz w:val="20"/>
          <w:szCs w:val="20"/>
          <w:lang w:val="en-US" w:eastAsia="zh-CN"/>
        </w:rPr>
        <w:t xml:space="preserve"> is based on single UL CC, and MPR</w:t>
      </w:r>
      <w:r>
        <w:rPr>
          <w:rFonts w:hint="eastAsia"/>
          <w:b/>
          <w:bCs/>
          <w:i w:val="0"/>
          <w:iCs w:val="0"/>
          <w:sz w:val="20"/>
          <w:szCs w:val="20"/>
          <w:vertAlign w:val="subscript"/>
          <w:lang w:val="en-US" w:eastAsia="zh-CN"/>
        </w:rPr>
        <w:t>2</w:t>
      </w:r>
      <w:r>
        <w:rPr>
          <w:rFonts w:hint="eastAsia"/>
          <w:b/>
          <w:bCs/>
          <w:i w:val="0"/>
          <w:iCs w:val="0"/>
          <w:sz w:val="20"/>
          <w:szCs w:val="20"/>
          <w:lang w:val="en-US" w:eastAsia="zh-CN"/>
        </w:rPr>
        <w:t xml:space="preserve"> is based on CABW.</w:t>
      </w:r>
    </w:p>
    <w:p>
      <w:pPr>
        <w:rPr>
          <w:rFonts w:hint="default"/>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3-2-2:  Applicable MPR for FR2 UL CA with DL intra band CA</w:t>
            </w:r>
          </w:p>
          <w:p>
            <w:pPr>
              <w:pStyle w:val="34"/>
              <w:keepNext w:val="0"/>
              <w:keepLines w:val="0"/>
              <w:pageBreakBefore w:val="0"/>
              <w:widowControl/>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numPr>
                <w:ilvl w:val="1"/>
                <w:numId w:val="9"/>
              </w:numPr>
              <w:kinsoku/>
              <w:wordWrap/>
              <w:overflowPunct/>
              <w:topLinePunct w:val="0"/>
              <w:autoSpaceDE/>
              <w:autoSpaceDN/>
              <w:bidi w:val="0"/>
              <w:adjustRightInd/>
              <w:snapToGrid/>
              <w:spacing w:after="120"/>
              <w:ind w:left="144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In general, MPR based on </w:t>
            </w:r>
            <w:r>
              <w:rPr>
                <w:color w:val="000000" w:themeColor="text1"/>
                <w:sz w:val="20"/>
                <w:szCs w:val="20"/>
                <w14:textFill>
                  <w14:solidFill>
                    <w14:schemeClr w14:val="tx1"/>
                  </w14:solidFill>
                </w14:textFill>
              </w:rPr>
              <w:t>UL BW</w:t>
            </w:r>
            <w:r>
              <w:rPr>
                <w:color w:val="000000" w:themeColor="text1"/>
                <w:sz w:val="20"/>
                <w:szCs w:val="20"/>
                <w:vertAlign w:val="subscript"/>
                <w14:textFill>
                  <w14:solidFill>
                    <w14:schemeClr w14:val="tx1"/>
                  </w14:solidFill>
                </w14:textFill>
              </w:rPr>
              <w:t>channel_CA</w:t>
            </w:r>
            <w:r>
              <w:rPr>
                <w:color w:val="000000" w:themeColor="text1"/>
                <w:sz w:val="20"/>
                <w:szCs w:val="20"/>
                <w14:textFill>
                  <w14:solidFill>
                    <w14:schemeClr w14:val="tx1"/>
                  </w14:solidFill>
                </w14:textFill>
              </w:rPr>
              <w:t xml:space="preserve"> applies instead that based on </w:t>
            </w:r>
            <w:r>
              <w:rPr>
                <w:bCs/>
                <w:color w:val="000000" w:themeColor="text1"/>
                <w:sz w:val="20"/>
                <w:szCs w:val="20"/>
                <w14:textFill>
                  <w14:solidFill>
                    <w14:schemeClr w14:val="tx1"/>
                  </w14:solidFill>
                </w14:textFill>
              </w:rPr>
              <w:t xml:space="preserve">cumulative aggregated channel BW (CABW) </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2376" w:firstLineChars="0"/>
              <w:textAlignment w:val="auto"/>
              <w:rPr>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If only 1 UL CC is activated, the MPR requirements of single carrier could be reused</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2376" w:firstLineChars="0"/>
              <w:textAlignment w:val="auto"/>
              <w:rPr>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 xml:space="preserve">No need to specify new column for &lt;400MHz </w:t>
            </w:r>
            <w:r>
              <w:rPr>
                <w:color w:val="000000" w:themeColor="text1"/>
                <w:sz w:val="20"/>
                <w:szCs w:val="20"/>
                <w14:textFill>
                  <w14:solidFill>
                    <w14:schemeClr w14:val="tx1"/>
                  </w14:solidFill>
                </w14:textFill>
              </w:rPr>
              <w:t xml:space="preserve">CABW in the MPR table. FFS specific spec change to accommodate 200MHz BW granularity </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2376" w:firstLineChars="0"/>
              <w:textAlignment w:val="auto"/>
              <w:rPr>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FFS whether to take the minimum values of MPR between the intra-band CA case and the single carrier for FR2-2</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after="180"/>
              <w:textAlignment w:val="baseline"/>
              <w:rPr>
                <w:rFonts w:hint="default"/>
                <w:b/>
                <w:bCs/>
                <w:i/>
                <w:iCs/>
                <w:sz w:val="20"/>
                <w:szCs w:val="20"/>
                <w:vertAlign w:val="baseline"/>
                <w:lang w:val="en-US" w:eastAsia="zh-CN"/>
              </w:rPr>
            </w:pPr>
          </w:p>
        </w:tc>
      </w:tr>
    </w:tbl>
    <w:p>
      <w:pPr>
        <w:rPr>
          <w:rFonts w:hint="default" w:eastAsiaTheme="minorEastAsia"/>
          <w:color w:val="000000" w:themeColor="text1"/>
          <w:sz w:val="20"/>
          <w:szCs w:val="20"/>
          <w:lang w:val="en-US" w:eastAsia="zh-CN"/>
          <w14:textFill>
            <w14:solidFill>
              <w14:schemeClr w14:val="tx1"/>
            </w14:solidFill>
          </w14:textFill>
        </w:rPr>
      </w:pPr>
      <w:r>
        <w:rPr>
          <w:rFonts w:hint="eastAsia"/>
          <w:sz w:val="20"/>
          <w:szCs w:val="20"/>
          <w:lang w:val="en-US" w:eastAsia="zh-CN"/>
        </w:rPr>
        <w:t>F</w:t>
      </w:r>
      <w:r>
        <w:rPr>
          <w:rFonts w:hint="default"/>
          <w:sz w:val="20"/>
          <w:szCs w:val="20"/>
          <w:lang w:val="en-US" w:eastAsia="zh-CN"/>
        </w:rPr>
        <w:t>or FR2 UL CA with DL intra</w:t>
      </w:r>
      <w:r>
        <w:rPr>
          <w:rFonts w:hint="eastAsia"/>
          <w:sz w:val="20"/>
          <w:szCs w:val="20"/>
          <w:lang w:val="en-US" w:eastAsia="zh-CN"/>
        </w:rPr>
        <w:t>-</w:t>
      </w:r>
      <w:r>
        <w:rPr>
          <w:rFonts w:hint="default"/>
          <w:sz w:val="20"/>
          <w:szCs w:val="20"/>
          <w:lang w:val="en-US" w:eastAsia="zh-CN"/>
        </w:rPr>
        <w:t>band CA</w:t>
      </w:r>
      <w:r>
        <w:rPr>
          <w:rFonts w:hint="eastAsia"/>
          <w:sz w:val="20"/>
          <w:szCs w:val="20"/>
          <w:lang w:val="en-US" w:eastAsia="zh-CN"/>
        </w:rPr>
        <w:t xml:space="preserve">, it is feasible to apply MPR based on </w:t>
      </w:r>
      <w:r>
        <w:rPr>
          <w:color w:val="000000" w:themeColor="text1"/>
          <w:sz w:val="20"/>
          <w:szCs w:val="20"/>
          <w14:textFill>
            <w14:solidFill>
              <w14:schemeClr w14:val="tx1"/>
            </w14:solidFill>
          </w14:textFill>
        </w:rPr>
        <w:t>UL BW</w:t>
      </w:r>
      <w:r>
        <w:rPr>
          <w:color w:val="000000" w:themeColor="text1"/>
          <w:sz w:val="20"/>
          <w:szCs w:val="20"/>
          <w:vertAlign w:val="subscript"/>
          <w14:textFill>
            <w14:solidFill>
              <w14:schemeClr w14:val="tx1"/>
            </w14:solidFill>
          </w14:textFill>
        </w:rPr>
        <w:t>channel_CA</w:t>
      </w:r>
      <w:r>
        <w:rPr>
          <w:rFonts w:hint="eastAsia"/>
          <w:sz w:val="20"/>
          <w:szCs w:val="20"/>
          <w:lang w:val="en-US" w:eastAsia="zh-CN"/>
        </w:rPr>
        <w:t xml:space="preserve"> instead that based on CABW in general. In the case of </w:t>
      </w:r>
      <w:r>
        <w:rPr>
          <w:rFonts w:eastAsiaTheme="minorEastAsia"/>
          <w:color w:val="000000" w:themeColor="text1"/>
          <w:sz w:val="20"/>
          <w:szCs w:val="20"/>
          <w:lang w:eastAsia="zh-CN"/>
          <w14:textFill>
            <w14:solidFill>
              <w14:schemeClr w14:val="tx1"/>
            </w14:solidFill>
          </w14:textFill>
        </w:rPr>
        <w:t>only 1 UL CC is activated</w:t>
      </w:r>
      <w:r>
        <w:rPr>
          <w:rFonts w:hint="eastAsia" w:eastAsiaTheme="minorEastAsia"/>
          <w:color w:val="000000" w:themeColor="text1"/>
          <w:sz w:val="20"/>
          <w:szCs w:val="20"/>
          <w:lang w:val="en-US" w:eastAsia="zh-CN"/>
          <w14:textFill>
            <w14:solidFill>
              <w14:schemeClr w14:val="tx1"/>
            </w14:solidFill>
          </w14:textFill>
        </w:rPr>
        <w:t xml:space="preserve">, there also exists MPR of single carrier are larger than that of intra-band UL contiguous CA. For intra-band UL contiguous CA, SEM/ACLR applies from frequencies starting from the ±edge of the UL aggregated channel bandwidth. If we use the MPR of single carrier when </w:t>
      </w:r>
      <w:r>
        <w:rPr>
          <w:rFonts w:eastAsiaTheme="minorEastAsia"/>
          <w:color w:val="000000" w:themeColor="text1"/>
          <w:sz w:val="20"/>
          <w:szCs w:val="20"/>
          <w:lang w:eastAsia="zh-CN"/>
          <w14:textFill>
            <w14:solidFill>
              <w14:schemeClr w14:val="tx1"/>
            </w14:solidFill>
          </w14:textFill>
        </w:rPr>
        <w:t>only 1 UL CC is activated</w:t>
      </w:r>
      <w:r>
        <w:rPr>
          <w:rFonts w:hint="eastAsia" w:eastAsiaTheme="minorEastAsia"/>
          <w:color w:val="000000" w:themeColor="text1"/>
          <w:sz w:val="20"/>
          <w:szCs w:val="20"/>
          <w:lang w:val="en-US" w:eastAsia="zh-CN"/>
          <w14:textFill>
            <w14:solidFill>
              <w14:schemeClr w14:val="tx1"/>
            </w14:solidFill>
          </w14:textFill>
        </w:rPr>
        <w:t>, we will face the same problem as the discussion in FR1 UL CA whether spurious emissions/ACLR/SEM are kept for UL aggregated CBW. If the applying range of OOBE requirement keeps unchanged, SEM requirement is relaxed in some extent when use single carrier MPR for FR2 UL CA with 1 activated UL CC. Hence, with the intention of MPR reduction, it is feasible to take the minimum values of MPR between the intra-band CA case and the single carrier for FR2-2 with emissions compliance. We also propose that for FR2 UL CA with 1 activated UL CC, applicable MPR shall be derived as MIN(MPR1,MPR2), where: MPR1 is based on activated UL CC, and MPR2 is based on UL aggregated CBW.</w:t>
      </w:r>
    </w:p>
    <w:p>
      <w:pPr>
        <w:rPr>
          <w:rFonts w:hint="eastAsia"/>
          <w:b/>
          <w:bCs/>
          <w:i w:val="0"/>
          <w:iCs w:val="0"/>
          <w:sz w:val="20"/>
          <w:szCs w:val="20"/>
          <w:lang w:val="en-US" w:eastAsia="zh-CN"/>
        </w:rPr>
      </w:pPr>
      <w:r>
        <w:rPr>
          <w:rFonts w:hint="eastAsia"/>
          <w:b/>
          <w:bCs/>
          <w:i w:val="0"/>
          <w:iCs w:val="0"/>
          <w:sz w:val="20"/>
          <w:szCs w:val="20"/>
          <w:lang w:val="en-US" w:eastAsia="zh-CN"/>
        </w:rPr>
        <w:t>Proposal 2: FR2 UL CA with 1 activated UL CC, applicable MPR shall be derived as MIN(MPR1,MPR2), where: MPR1 is based on activated UL CC, and MPR2 is based on UL aggregated CBW.</w:t>
      </w:r>
    </w:p>
    <w:p>
      <w:pPr>
        <w:rPr>
          <w:rFonts w:hint="eastAsia"/>
          <w:b/>
          <w:bCs/>
          <w:i w:val="0"/>
          <w:iCs w:val="0"/>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3-3-1:  Whether an optional UE capability is considered</w:t>
            </w:r>
          </w:p>
          <w:p>
            <w:pPr>
              <w:pStyle w:val="34"/>
              <w:numPr>
                <w:ilvl w:val="0"/>
                <w:numId w:val="9"/>
              </w:numPr>
              <w:overflowPunct/>
              <w:autoSpaceDE/>
              <w:autoSpaceDN/>
              <w:adjustRightIn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no need to introduce a new UE capability for such MPR improvement as Network does not need to enable the MPR improvement originating from the application of MPR requirements. (CATT)</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P</w:t>
            </w:r>
            <w:r>
              <w:rPr>
                <w:rFonts w:eastAsia="宋体"/>
                <w:color w:val="000000" w:themeColor="text1"/>
                <w:sz w:val="20"/>
                <w:szCs w:val="20"/>
                <w:lang w:eastAsia="zh-CN"/>
                <w14:textFill>
                  <w14:solidFill>
                    <w14:schemeClr w14:val="tx1"/>
                  </w14:solidFill>
                </w14:textFill>
              </w:rPr>
              <w:t>roposal 2: The new capability shall be defined as optional and per UE, and only applicable to FR2. In addition, it could be release independent. (ZTE)</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P</w:t>
            </w:r>
            <w:r>
              <w:rPr>
                <w:rFonts w:eastAsia="宋体"/>
                <w:color w:val="000000" w:themeColor="text1"/>
                <w:sz w:val="20"/>
                <w:szCs w:val="20"/>
                <w:lang w:eastAsia="zh-CN"/>
                <w14:textFill>
                  <w14:solidFill>
                    <w14:schemeClr w14:val="tx1"/>
                  </w14:solidFill>
                </w14:textFill>
              </w:rPr>
              <w:t>roposal 3: RAN4 to consider as an optional capability. (Qualcomm)</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4: Subject to UE capability indication on the support of Rel-19 MPR applicability for FR2 CA. (Huawei)</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r>
              <w:rPr>
                <w:color w:val="000000" w:themeColor="text1"/>
                <w:sz w:val="20"/>
                <w:szCs w:val="20"/>
                <w:lang w:eastAsia="zh-CN"/>
                <w14:textFill>
                  <w14:solidFill>
                    <w14:schemeClr w14:val="tx1"/>
                  </w14:solidFill>
                </w14:textFill>
              </w:rPr>
              <w:t>.</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after="180"/>
              <w:textAlignment w:val="baseline"/>
              <w:rPr>
                <w:rFonts w:hint="default"/>
                <w:b/>
                <w:bCs/>
                <w:i/>
                <w:iCs/>
                <w:sz w:val="20"/>
                <w:szCs w:val="20"/>
                <w:vertAlign w:val="baseline"/>
                <w:lang w:val="en-US" w:eastAsia="zh-CN"/>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3-3-2:  Whether UE capability, if needed, is agnostic to specific LO implementations</w:t>
            </w:r>
          </w:p>
          <w:p>
            <w:pPr>
              <w:pStyle w:val="34"/>
              <w:numPr>
                <w:ilvl w:val="0"/>
                <w:numId w:val="9"/>
              </w:numPr>
              <w:overflowPunct/>
              <w:autoSpaceDE/>
              <w:autoSpaceDN/>
              <w:adjustRightIn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Consider all possible UE implementations, including UE with fast LO switching, or with dedicated LOs for Tx and Rx paths for the new UE capability. (ZTE)</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Capability should not be dependent on a specific implementation. (NTT DOCOMO)</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after="180"/>
              <w:textAlignment w:val="baseline"/>
              <w:rPr>
                <w:rFonts w:hint="default"/>
                <w:b/>
                <w:bCs/>
                <w:i/>
                <w:iCs/>
                <w:sz w:val="20"/>
                <w:szCs w:val="20"/>
                <w:vertAlign w:val="baseline"/>
                <w:lang w:val="en-US" w:eastAsia="zh-CN"/>
              </w:rPr>
            </w:pPr>
          </w:p>
        </w:tc>
      </w:tr>
    </w:tbl>
    <w:p>
      <w:pPr>
        <w:rPr>
          <w:rFonts w:hint="eastAsia"/>
          <w:sz w:val="20"/>
          <w:szCs w:val="20"/>
          <w:lang w:val="en-US" w:eastAsia="zh-CN"/>
        </w:rPr>
      </w:pPr>
      <w:r>
        <w:rPr>
          <w:rFonts w:hint="eastAsia"/>
          <w:sz w:val="20"/>
          <w:szCs w:val="20"/>
          <w:lang w:val="en-US" w:eastAsia="zh-CN"/>
        </w:rPr>
        <w:t xml:space="preserve">For the new UE capability, we need to consider all possible UE implementations, including UE with fast LO switching, or with dedicated LOs for Tx and Rx paths. Considering the new UE capability is related to UE implementation, this new capability shall be defined as optional and per UE, and only applicable to FR2. </w:t>
      </w:r>
    </w:p>
    <w:p>
      <w:pPr>
        <w:rPr>
          <w:rFonts w:hint="eastAsia"/>
          <w:b/>
          <w:bCs/>
          <w:i w:val="0"/>
          <w:iCs w:val="0"/>
          <w:sz w:val="20"/>
          <w:szCs w:val="20"/>
          <w:lang w:val="en-US" w:eastAsia="zh-CN"/>
        </w:rPr>
      </w:pPr>
      <w:r>
        <w:rPr>
          <w:rFonts w:hint="eastAsia"/>
          <w:b/>
          <w:bCs/>
          <w:i w:val="0"/>
          <w:iCs w:val="0"/>
          <w:sz w:val="20"/>
          <w:szCs w:val="20"/>
          <w:lang w:val="en-US" w:eastAsia="zh-CN"/>
        </w:rPr>
        <w:t>Proposal 3: We propose to consider all possible UE implementations, including UE with fast LO switching, or with dedicated LOs for Tx and Rx paths for the new UE capability.</w:t>
      </w:r>
    </w:p>
    <w:p>
      <w:pPr>
        <w:rPr>
          <w:rFonts w:hint="eastAsia"/>
          <w:b/>
          <w:bCs/>
          <w:i w:val="0"/>
          <w:iCs w:val="0"/>
          <w:sz w:val="20"/>
          <w:szCs w:val="20"/>
          <w:lang w:val="en-US" w:eastAsia="zh-CN"/>
        </w:rPr>
      </w:pPr>
      <w:r>
        <w:rPr>
          <w:rFonts w:hint="eastAsia"/>
          <w:b/>
          <w:bCs/>
          <w:i w:val="0"/>
          <w:iCs w:val="0"/>
          <w:sz w:val="20"/>
          <w:szCs w:val="20"/>
          <w:lang w:val="en-US" w:eastAsia="zh-CN"/>
        </w:rPr>
        <w:t>Proposal 4: The new capability shall be defined as optional and per UE, and only applicable to FR2.</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For FR2 single carrier UL with DL intra band CA, applicable MPR shall be derived as MIN(MPR</w:t>
      </w:r>
      <w:r>
        <w:rPr>
          <w:rFonts w:hint="eastAsia"/>
          <w:b/>
          <w:bCs/>
          <w:i w:val="0"/>
          <w:iCs w:val="0"/>
          <w:sz w:val="20"/>
          <w:szCs w:val="20"/>
          <w:vertAlign w:val="subscript"/>
          <w:lang w:val="en-US" w:eastAsia="zh-CN"/>
        </w:rPr>
        <w:t>1</w:t>
      </w:r>
      <w:r>
        <w:rPr>
          <w:rFonts w:hint="eastAsia"/>
          <w:b/>
          <w:bCs/>
          <w:i w:val="0"/>
          <w:iCs w:val="0"/>
          <w:sz w:val="20"/>
          <w:szCs w:val="20"/>
          <w:lang w:val="en-US" w:eastAsia="zh-CN"/>
        </w:rPr>
        <w:t>,MPR</w:t>
      </w:r>
      <w:r>
        <w:rPr>
          <w:rFonts w:hint="eastAsia"/>
          <w:b/>
          <w:bCs/>
          <w:i w:val="0"/>
          <w:iCs w:val="0"/>
          <w:sz w:val="20"/>
          <w:szCs w:val="20"/>
          <w:vertAlign w:val="subscript"/>
          <w:lang w:val="en-US" w:eastAsia="zh-CN"/>
        </w:rPr>
        <w:t>2</w:t>
      </w:r>
      <w:r>
        <w:rPr>
          <w:rFonts w:hint="eastAsia"/>
          <w:b/>
          <w:bCs/>
          <w:i w:val="0"/>
          <w:iCs w:val="0"/>
          <w:sz w:val="20"/>
          <w:szCs w:val="20"/>
          <w:lang w:val="en-US" w:eastAsia="zh-CN"/>
        </w:rPr>
        <w:t>), where: MPR</w:t>
      </w:r>
      <w:r>
        <w:rPr>
          <w:rFonts w:hint="eastAsia"/>
          <w:b/>
          <w:bCs/>
          <w:i w:val="0"/>
          <w:iCs w:val="0"/>
          <w:sz w:val="20"/>
          <w:szCs w:val="20"/>
          <w:vertAlign w:val="subscript"/>
          <w:lang w:val="en-US" w:eastAsia="zh-CN"/>
        </w:rPr>
        <w:t>1</w:t>
      </w:r>
      <w:r>
        <w:rPr>
          <w:rFonts w:hint="eastAsia"/>
          <w:b/>
          <w:bCs/>
          <w:i w:val="0"/>
          <w:iCs w:val="0"/>
          <w:sz w:val="20"/>
          <w:szCs w:val="20"/>
          <w:lang w:val="en-US" w:eastAsia="zh-CN"/>
        </w:rPr>
        <w:t xml:space="preserve"> is based on single UL CC, and MPR</w:t>
      </w:r>
      <w:r>
        <w:rPr>
          <w:rFonts w:hint="eastAsia"/>
          <w:b/>
          <w:bCs/>
          <w:i w:val="0"/>
          <w:iCs w:val="0"/>
          <w:sz w:val="20"/>
          <w:szCs w:val="20"/>
          <w:vertAlign w:val="subscript"/>
          <w:lang w:val="en-US" w:eastAsia="zh-CN"/>
        </w:rPr>
        <w:t>2</w:t>
      </w:r>
      <w:r>
        <w:rPr>
          <w:rFonts w:hint="eastAsia"/>
          <w:b/>
          <w:bCs/>
          <w:i w:val="0"/>
          <w:iCs w:val="0"/>
          <w:sz w:val="20"/>
          <w:szCs w:val="20"/>
          <w:lang w:val="en-US" w:eastAsia="zh-CN"/>
        </w:rPr>
        <w:t xml:space="preserve"> is based on CABW.</w:t>
      </w:r>
    </w:p>
    <w:p>
      <w:pPr>
        <w:rPr>
          <w:rFonts w:hint="eastAsia"/>
          <w:b/>
          <w:bCs/>
          <w:i w:val="0"/>
          <w:iCs w:val="0"/>
          <w:sz w:val="20"/>
          <w:szCs w:val="20"/>
          <w:lang w:val="en-US" w:eastAsia="zh-CN"/>
        </w:rPr>
      </w:pPr>
      <w:r>
        <w:rPr>
          <w:rFonts w:hint="eastAsia"/>
          <w:b/>
          <w:bCs/>
          <w:i w:val="0"/>
          <w:iCs w:val="0"/>
          <w:sz w:val="20"/>
          <w:szCs w:val="20"/>
          <w:lang w:val="en-US" w:eastAsia="zh-CN"/>
        </w:rPr>
        <w:t>Proposal 2: FR2 UL CA with 1 activated UL CC, applicable MPR shall be derived as MIN(MPR1,MPR2), where: MPR1 is based on activated UL CC, and MPR2 is based on UL aggregated CBW.</w:t>
      </w:r>
    </w:p>
    <w:p>
      <w:pPr>
        <w:rPr>
          <w:rFonts w:hint="eastAsia"/>
          <w:b/>
          <w:bCs/>
          <w:i w:val="0"/>
          <w:iCs w:val="0"/>
          <w:sz w:val="20"/>
          <w:szCs w:val="20"/>
          <w:lang w:val="en-US" w:eastAsia="zh-CN"/>
        </w:rPr>
      </w:pPr>
      <w:r>
        <w:rPr>
          <w:rFonts w:hint="eastAsia"/>
          <w:b/>
          <w:bCs/>
          <w:i w:val="0"/>
          <w:iCs w:val="0"/>
          <w:sz w:val="20"/>
          <w:szCs w:val="20"/>
          <w:lang w:val="en-US" w:eastAsia="zh-CN"/>
        </w:rPr>
        <w:t>Proposal 3: We propose to consider all possible UE implementations, including UE with fast LO switching, or with dedicated LOs for Tx and Rx paths for the new UE capability.</w:t>
      </w:r>
    </w:p>
    <w:p>
      <w:pPr>
        <w:rPr>
          <w:rFonts w:hint="eastAsia"/>
          <w:b/>
          <w:bCs/>
          <w:i w:val="0"/>
          <w:iCs w:val="0"/>
          <w:sz w:val="20"/>
          <w:szCs w:val="20"/>
          <w:lang w:val="en-US" w:eastAsia="zh-CN"/>
        </w:rPr>
      </w:pPr>
      <w:r>
        <w:rPr>
          <w:rFonts w:hint="eastAsia"/>
          <w:b/>
          <w:bCs/>
          <w:i w:val="0"/>
          <w:iCs w:val="0"/>
          <w:sz w:val="20"/>
          <w:szCs w:val="20"/>
          <w:lang w:val="en-US" w:eastAsia="zh-CN"/>
        </w:rPr>
        <w:t>Proposal 4: The new capability shall be defined as optional and per UE, and only applicable to FR2.</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RP-240828, New WID: UE RF enhancements for NR FR1/FR2 and EN-DC, Phase 4, Huawei</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AD50C2"/>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A6B82"/>
    <w:rsid w:val="05636085"/>
    <w:rsid w:val="057D1D66"/>
    <w:rsid w:val="059D265F"/>
    <w:rsid w:val="059E1515"/>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9F40E7"/>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A60DD"/>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17430"/>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C5D76"/>
    <w:rsid w:val="0F7F273F"/>
    <w:rsid w:val="0F7F7919"/>
    <w:rsid w:val="0F8418ED"/>
    <w:rsid w:val="0F8B3A90"/>
    <w:rsid w:val="0F8C2B8A"/>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351AA"/>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C1AEF"/>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47ED7"/>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D32339"/>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B9565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9651C"/>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4808A1"/>
    <w:rsid w:val="26562F1C"/>
    <w:rsid w:val="26577EF5"/>
    <w:rsid w:val="265A5249"/>
    <w:rsid w:val="265C53CB"/>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A7589"/>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2FFF2133"/>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6420C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17860"/>
    <w:rsid w:val="3DB34E86"/>
    <w:rsid w:val="3DB36BC6"/>
    <w:rsid w:val="3DB80A86"/>
    <w:rsid w:val="3DBE6A34"/>
    <w:rsid w:val="3DC00481"/>
    <w:rsid w:val="3DDA08CF"/>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82F65"/>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F0206"/>
    <w:rsid w:val="43D50BA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C6462F"/>
    <w:rsid w:val="46D37F0B"/>
    <w:rsid w:val="46D6030E"/>
    <w:rsid w:val="46D71533"/>
    <w:rsid w:val="46E53335"/>
    <w:rsid w:val="46E544E3"/>
    <w:rsid w:val="46E87DBA"/>
    <w:rsid w:val="46EE15F6"/>
    <w:rsid w:val="46EE2CC7"/>
    <w:rsid w:val="46FA7468"/>
    <w:rsid w:val="470F7B86"/>
    <w:rsid w:val="47155D89"/>
    <w:rsid w:val="473069AF"/>
    <w:rsid w:val="47356ECD"/>
    <w:rsid w:val="473B1044"/>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47560"/>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CE504B"/>
    <w:rsid w:val="4AD25F33"/>
    <w:rsid w:val="4AD763B8"/>
    <w:rsid w:val="4ADD641F"/>
    <w:rsid w:val="4AE072CB"/>
    <w:rsid w:val="4AE93159"/>
    <w:rsid w:val="4AED65F4"/>
    <w:rsid w:val="4AF02EA1"/>
    <w:rsid w:val="4B0428AF"/>
    <w:rsid w:val="4B14486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409B1"/>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62D89"/>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6A6D"/>
    <w:rsid w:val="5ADF4325"/>
    <w:rsid w:val="5AE8708E"/>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7756"/>
    <w:rsid w:val="5DC848B4"/>
    <w:rsid w:val="5DD14397"/>
    <w:rsid w:val="5DD3123F"/>
    <w:rsid w:val="5DD45E00"/>
    <w:rsid w:val="5DD564E5"/>
    <w:rsid w:val="5DD71C7A"/>
    <w:rsid w:val="5DD734EC"/>
    <w:rsid w:val="5DDA4F5F"/>
    <w:rsid w:val="5DDF6E6E"/>
    <w:rsid w:val="5DEC05A1"/>
    <w:rsid w:val="5DEE0433"/>
    <w:rsid w:val="5DF63811"/>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1FE4"/>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844D0"/>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55B0B"/>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0736BC"/>
    <w:rsid w:val="621542CB"/>
    <w:rsid w:val="621C2930"/>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0E3877"/>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76FEE"/>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4E20BB"/>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C83532"/>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6F4E63"/>
    <w:rsid w:val="6B730045"/>
    <w:rsid w:val="6B736A2E"/>
    <w:rsid w:val="6B762264"/>
    <w:rsid w:val="6B7964E9"/>
    <w:rsid w:val="6B8642C7"/>
    <w:rsid w:val="6B874340"/>
    <w:rsid w:val="6B884219"/>
    <w:rsid w:val="6B90781F"/>
    <w:rsid w:val="6BA6663C"/>
    <w:rsid w:val="6BA9194F"/>
    <w:rsid w:val="6BB07973"/>
    <w:rsid w:val="6BBF0D6B"/>
    <w:rsid w:val="6BCA7437"/>
    <w:rsid w:val="6BE727F5"/>
    <w:rsid w:val="6C001608"/>
    <w:rsid w:val="6C08064C"/>
    <w:rsid w:val="6C0858B3"/>
    <w:rsid w:val="6C132D21"/>
    <w:rsid w:val="6C210645"/>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A39B3"/>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A630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31A41"/>
    <w:rsid w:val="72CF1AC7"/>
    <w:rsid w:val="72D51F74"/>
    <w:rsid w:val="72DC0F93"/>
    <w:rsid w:val="72DD2607"/>
    <w:rsid w:val="72E42AFA"/>
    <w:rsid w:val="72E85578"/>
    <w:rsid w:val="72EB4466"/>
    <w:rsid w:val="72FD426E"/>
    <w:rsid w:val="73030D55"/>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616F0"/>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5D1EF3"/>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80C92"/>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2024-10-07T02:57:31Z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5B583D667BD54F4590BD6F08E7FE0B5D</vt:lpwstr>
  </property>
</Properties>
</file>